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3B26D2">
        <w:rPr>
          <w:rFonts w:ascii="Times New Roman" w:hAnsi="Times New Roman"/>
          <w:b/>
          <w:sz w:val="24"/>
          <w:szCs w:val="24"/>
        </w:rPr>
        <w:t>0</w:t>
      </w:r>
      <w:r w:rsidR="0045704C">
        <w:rPr>
          <w:rFonts w:ascii="Times New Roman" w:hAnsi="Times New Roman"/>
          <w:b/>
          <w:sz w:val="24"/>
          <w:szCs w:val="24"/>
        </w:rPr>
        <w:t>4</w:t>
      </w:r>
      <w:r w:rsidRPr="00E442BA">
        <w:rPr>
          <w:rFonts w:ascii="Times New Roman" w:hAnsi="Times New Roman"/>
          <w:b/>
          <w:sz w:val="24"/>
          <w:szCs w:val="24"/>
        </w:rPr>
        <w:t>.20</w:t>
      </w:r>
      <w:r w:rsidR="003B26D2">
        <w:rPr>
          <w:rFonts w:ascii="Times New Roman" w:hAnsi="Times New Roman"/>
          <w:b/>
          <w:sz w:val="24"/>
          <w:szCs w:val="24"/>
        </w:rPr>
        <w:t>2</w:t>
      </w:r>
      <w:r w:rsidR="0034025B">
        <w:rPr>
          <w:rFonts w:ascii="Times New Roman" w:hAnsi="Times New Roman"/>
          <w:b/>
          <w:sz w:val="24"/>
          <w:szCs w:val="24"/>
        </w:rPr>
        <w:t>1</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8009D7" w:rsidP="00575E35">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70"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43"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43"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r w:rsidRPr="00452B96">
              <w:rPr>
                <w:rFonts w:ascii="Times New Roman" w:hAnsi="Times New Roman"/>
                <w:sz w:val="18"/>
                <w:szCs w:val="18"/>
              </w:rPr>
              <w:t>1</w:t>
            </w:r>
            <w:r w:rsidR="008009D7">
              <w:rPr>
                <w:rFonts w:ascii="Times New Roman" w:hAnsi="Times New Roman"/>
                <w:sz w:val="18"/>
                <w:szCs w:val="18"/>
              </w:rPr>
              <w:t>6</w:t>
            </w:r>
            <w:r w:rsidRPr="00452B96">
              <w:rPr>
                <w:rFonts w:ascii="Times New Roman" w:hAnsi="Times New Roman"/>
                <w:sz w:val="18"/>
                <w:szCs w:val="18"/>
              </w:rPr>
              <w:t>000</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70"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452B96" w:rsidP="0034025B">
            <w:pPr>
              <w:pStyle w:val="ConsPlusNormal"/>
              <w:ind w:firstLine="56"/>
              <w:jc w:val="center"/>
              <w:rPr>
                <w:rFonts w:ascii="Times New Roman" w:hAnsi="Times New Roman"/>
                <w:sz w:val="18"/>
                <w:szCs w:val="18"/>
              </w:rPr>
            </w:pPr>
            <w:r w:rsidRPr="00452B96">
              <w:rPr>
                <w:rFonts w:ascii="Times New Roman" w:hAnsi="Times New Roman"/>
                <w:sz w:val="18"/>
                <w:szCs w:val="18"/>
              </w:rPr>
              <w:t>52</w:t>
            </w:r>
            <w:r w:rsidR="0034025B">
              <w:rPr>
                <w:rFonts w:ascii="Times New Roman" w:hAnsi="Times New Roman"/>
                <w:sz w:val="18"/>
                <w:szCs w:val="18"/>
              </w:rPr>
              <w:t>,3</w:t>
            </w:r>
          </w:p>
        </w:tc>
        <w:tc>
          <w:tcPr>
            <w:tcW w:w="1040" w:type="dxa"/>
            <w:gridSpan w:val="3"/>
            <w:shd w:val="clear" w:color="auto" w:fill="auto"/>
          </w:tcPr>
          <w:p w:rsidR="00452B96" w:rsidRPr="00452B96" w:rsidRDefault="00452B96" w:rsidP="0034025B">
            <w:pPr>
              <w:jc w:val="center"/>
              <w:rPr>
                <w:rFonts w:ascii="Times New Roman" w:hAnsi="Times New Roman"/>
                <w:sz w:val="18"/>
                <w:szCs w:val="18"/>
              </w:rPr>
            </w:pPr>
            <w:r w:rsidRPr="00452B96">
              <w:rPr>
                <w:rFonts w:ascii="Times New Roman" w:hAnsi="Times New Roman"/>
                <w:sz w:val="18"/>
                <w:szCs w:val="18"/>
              </w:rPr>
              <w:t>5</w:t>
            </w:r>
            <w:r w:rsidR="0034025B">
              <w:rPr>
                <w:rFonts w:ascii="Times New Roman" w:hAnsi="Times New Roman"/>
                <w:sz w:val="18"/>
                <w:szCs w:val="18"/>
              </w:rPr>
              <w:t>3</w:t>
            </w:r>
            <w:r w:rsidRPr="00452B96">
              <w:rPr>
                <w:rFonts w:ascii="Times New Roman" w:hAnsi="Times New Roman"/>
                <w:sz w:val="18"/>
                <w:szCs w:val="18"/>
              </w:rPr>
              <w:t>,3</w:t>
            </w:r>
          </w:p>
        </w:tc>
        <w:tc>
          <w:tcPr>
            <w:tcW w:w="943" w:type="dxa"/>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53,3</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452B96" w:rsidP="005D4970">
            <w:pPr>
              <w:pStyle w:val="ConsPlusNormal"/>
              <w:ind w:firstLine="27"/>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3</w:t>
            </w:r>
            <w:r w:rsidRPr="00452B96">
              <w:rPr>
                <w:rFonts w:ascii="Times New Roman" w:hAnsi="Times New Roman"/>
                <w:sz w:val="18"/>
                <w:szCs w:val="18"/>
              </w:rPr>
              <w:t>,0</w:t>
            </w:r>
          </w:p>
        </w:tc>
        <w:tc>
          <w:tcPr>
            <w:tcW w:w="1040" w:type="dxa"/>
            <w:gridSpan w:val="3"/>
          </w:tcPr>
          <w:p w:rsidR="00452B96" w:rsidRPr="00452B96" w:rsidRDefault="00452B96" w:rsidP="005D4970">
            <w:pPr>
              <w:pStyle w:val="ConsPlusNormal"/>
              <w:ind w:firstLine="0"/>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5</w:t>
            </w:r>
            <w:r w:rsidRPr="00452B96">
              <w:rPr>
                <w:rFonts w:ascii="Times New Roman" w:hAnsi="Times New Roman"/>
                <w:sz w:val="18"/>
                <w:szCs w:val="18"/>
              </w:rPr>
              <w:t>,0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85,0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5D4970" w:rsidP="00B30FF6">
            <w:pPr>
              <w:pStyle w:val="ConsPlusNormal"/>
              <w:ind w:firstLine="27"/>
              <w:jc w:val="center"/>
              <w:rPr>
                <w:rFonts w:ascii="Times New Roman" w:hAnsi="Times New Roman"/>
                <w:sz w:val="18"/>
                <w:szCs w:val="18"/>
              </w:rPr>
            </w:pPr>
            <w:r>
              <w:rPr>
                <w:rFonts w:ascii="Times New Roman" w:hAnsi="Times New Roman"/>
                <w:sz w:val="18"/>
                <w:szCs w:val="18"/>
              </w:rPr>
              <w:t>90</w:t>
            </w:r>
          </w:p>
        </w:tc>
        <w:tc>
          <w:tcPr>
            <w:tcW w:w="1040" w:type="dxa"/>
            <w:gridSpan w:val="3"/>
          </w:tcPr>
          <w:p w:rsidR="006813DB" w:rsidRPr="00452B96" w:rsidRDefault="006813DB" w:rsidP="005D4970">
            <w:pPr>
              <w:pStyle w:val="ConsPlusNormal"/>
              <w:ind w:firstLine="0"/>
              <w:jc w:val="center"/>
              <w:rPr>
                <w:rFonts w:ascii="Times New Roman" w:hAnsi="Times New Roman"/>
                <w:sz w:val="18"/>
                <w:szCs w:val="18"/>
              </w:rPr>
            </w:pPr>
            <w:r w:rsidRPr="00452B96">
              <w:rPr>
                <w:rFonts w:ascii="Times New Roman" w:hAnsi="Times New Roman"/>
                <w:sz w:val="18"/>
                <w:szCs w:val="18"/>
              </w:rPr>
              <w:t>9</w:t>
            </w:r>
            <w:r w:rsidR="005D4970">
              <w:rPr>
                <w:rFonts w:ascii="Times New Roman" w:hAnsi="Times New Roman"/>
                <w:sz w:val="18"/>
                <w:szCs w:val="18"/>
              </w:rPr>
              <w:t>3</w:t>
            </w:r>
          </w:p>
        </w:tc>
        <w:tc>
          <w:tcPr>
            <w:tcW w:w="943" w:type="dxa"/>
          </w:tcPr>
          <w:p w:rsidR="006813DB" w:rsidRPr="00452B96" w:rsidRDefault="006813DB"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93</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hanging="68"/>
              <w:jc w:val="center"/>
              <w:rPr>
                <w:rFonts w:ascii="Times New Roman" w:hAnsi="Times New Roman"/>
                <w:sz w:val="18"/>
                <w:szCs w:val="18"/>
                <w:lang w:val="en-US"/>
              </w:rPr>
            </w:pPr>
            <w:r>
              <w:rPr>
                <w:rFonts w:ascii="Times New Roman" w:hAnsi="Times New Roman"/>
                <w:sz w:val="18"/>
                <w:szCs w:val="18"/>
                <w:lang w:val="en-US"/>
              </w:rPr>
              <w:t>789496.00</w:t>
            </w:r>
          </w:p>
        </w:tc>
        <w:tc>
          <w:tcPr>
            <w:tcW w:w="985" w:type="dxa"/>
            <w:gridSpan w:val="2"/>
          </w:tcPr>
          <w:p w:rsidR="006813DB" w:rsidRPr="00452B96" w:rsidRDefault="0045704C" w:rsidP="002C020C">
            <w:pPr>
              <w:pStyle w:val="ConsPlusNormal"/>
              <w:ind w:firstLine="0"/>
              <w:jc w:val="center"/>
              <w:rPr>
                <w:rFonts w:ascii="Times New Roman" w:hAnsi="Times New Roman"/>
                <w:sz w:val="18"/>
                <w:szCs w:val="18"/>
              </w:rPr>
            </w:pPr>
            <w:r>
              <w:rPr>
                <w:rFonts w:ascii="Times New Roman" w:hAnsi="Times New Roman"/>
                <w:sz w:val="18"/>
                <w:szCs w:val="18"/>
              </w:rPr>
              <w:t>677342</w:t>
            </w:r>
          </w:p>
        </w:tc>
        <w:tc>
          <w:tcPr>
            <w:tcW w:w="943" w:type="dxa"/>
          </w:tcPr>
          <w:p w:rsidR="006813DB" w:rsidRPr="00452B96" w:rsidRDefault="0045704C" w:rsidP="002C020C">
            <w:pPr>
              <w:pStyle w:val="ConsPlusNormal"/>
              <w:ind w:firstLine="0"/>
              <w:jc w:val="center"/>
              <w:rPr>
                <w:rFonts w:ascii="Times New Roman" w:hAnsi="Times New Roman"/>
                <w:sz w:val="18"/>
                <w:szCs w:val="18"/>
              </w:rPr>
            </w:pPr>
            <w:r>
              <w:rPr>
                <w:rFonts w:ascii="Times New Roman" w:hAnsi="Times New Roman"/>
                <w:sz w:val="18"/>
                <w:szCs w:val="18"/>
              </w:rPr>
              <w:t>61116</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1E6C49" w:rsidRDefault="001E6C49" w:rsidP="008009D7">
            <w:pPr>
              <w:pStyle w:val="ConsPlusNormal"/>
              <w:ind w:hanging="68"/>
              <w:jc w:val="center"/>
              <w:rPr>
                <w:rFonts w:ascii="Times New Roman" w:hAnsi="Times New Roman"/>
                <w:sz w:val="18"/>
                <w:szCs w:val="18"/>
                <w:lang w:val="en-US"/>
              </w:rPr>
            </w:pPr>
            <w:r>
              <w:rPr>
                <w:rFonts w:ascii="Times New Roman" w:hAnsi="Times New Roman"/>
                <w:sz w:val="18"/>
                <w:szCs w:val="18"/>
                <w:lang w:val="en-US"/>
              </w:rPr>
              <w:t>28566.37</w:t>
            </w:r>
          </w:p>
        </w:tc>
        <w:tc>
          <w:tcPr>
            <w:tcW w:w="985" w:type="dxa"/>
            <w:gridSpan w:val="2"/>
          </w:tcPr>
          <w:p w:rsidR="008009D7" w:rsidRPr="00452B96" w:rsidRDefault="0045704C" w:rsidP="008009D7">
            <w:pPr>
              <w:pStyle w:val="ConsPlusNormal"/>
              <w:ind w:firstLine="0"/>
              <w:jc w:val="center"/>
              <w:rPr>
                <w:rFonts w:ascii="Times New Roman" w:hAnsi="Times New Roman"/>
                <w:sz w:val="18"/>
                <w:szCs w:val="18"/>
              </w:rPr>
            </w:pPr>
            <w:r>
              <w:rPr>
                <w:rFonts w:ascii="Times New Roman" w:hAnsi="Times New Roman"/>
                <w:sz w:val="18"/>
                <w:szCs w:val="18"/>
              </w:rPr>
              <w:t>35436,80</w:t>
            </w:r>
          </w:p>
        </w:tc>
        <w:tc>
          <w:tcPr>
            <w:tcW w:w="943" w:type="dxa"/>
          </w:tcPr>
          <w:p w:rsidR="008009D7" w:rsidRPr="00452B96" w:rsidRDefault="0045704C" w:rsidP="008009D7">
            <w:pPr>
              <w:pStyle w:val="ConsPlusNormal"/>
              <w:ind w:firstLine="0"/>
              <w:jc w:val="center"/>
              <w:rPr>
                <w:rFonts w:ascii="Times New Roman" w:hAnsi="Times New Roman"/>
                <w:sz w:val="18"/>
                <w:szCs w:val="18"/>
              </w:rPr>
            </w:pPr>
            <w:r>
              <w:rPr>
                <w:rFonts w:ascii="Times New Roman" w:hAnsi="Times New Roman"/>
                <w:sz w:val="18"/>
                <w:szCs w:val="18"/>
              </w:rPr>
              <w:t>3849,87</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5D4970" w:rsidP="002C020C">
            <w:pPr>
              <w:pStyle w:val="ConsPlusNormal"/>
              <w:ind w:firstLine="0"/>
              <w:jc w:val="center"/>
              <w:rPr>
                <w:rFonts w:ascii="Times New Roman" w:hAnsi="Times New Roman"/>
                <w:sz w:val="18"/>
                <w:szCs w:val="18"/>
              </w:rPr>
            </w:pPr>
            <w:r>
              <w:rPr>
                <w:rFonts w:ascii="Times New Roman" w:hAnsi="Times New Roman"/>
                <w:sz w:val="18"/>
                <w:szCs w:val="18"/>
              </w:rPr>
              <w:t>14</w:t>
            </w:r>
          </w:p>
        </w:tc>
        <w:tc>
          <w:tcPr>
            <w:tcW w:w="985" w:type="dxa"/>
            <w:gridSpan w:val="2"/>
            <w:shd w:val="clear" w:color="auto" w:fill="auto"/>
          </w:tcPr>
          <w:p w:rsidR="006813DB" w:rsidRPr="00452B96" w:rsidRDefault="005D4970" w:rsidP="002C020C">
            <w:pPr>
              <w:jc w:val="center"/>
              <w:rPr>
                <w:rFonts w:ascii="Times New Roman" w:hAnsi="Times New Roman"/>
                <w:sz w:val="18"/>
                <w:szCs w:val="18"/>
              </w:rPr>
            </w:pPr>
            <w:r>
              <w:rPr>
                <w:rFonts w:ascii="Times New Roman" w:hAnsi="Times New Roman"/>
                <w:sz w:val="18"/>
                <w:szCs w:val="18"/>
              </w:rPr>
              <w:t>15</w:t>
            </w:r>
          </w:p>
        </w:tc>
        <w:tc>
          <w:tcPr>
            <w:tcW w:w="982" w:type="dxa"/>
            <w:gridSpan w:val="2"/>
            <w:shd w:val="clear" w:color="auto" w:fill="auto"/>
          </w:tcPr>
          <w:p w:rsidR="006813DB" w:rsidRPr="00452B96" w:rsidRDefault="006813DB" w:rsidP="002C020C">
            <w:pPr>
              <w:jc w:val="center"/>
              <w:rPr>
                <w:rFonts w:ascii="Times New Roman" w:hAnsi="Times New Roman"/>
                <w:sz w:val="18"/>
                <w:szCs w:val="18"/>
              </w:rPr>
            </w:pPr>
            <w:r w:rsidRPr="00452B96">
              <w:rPr>
                <w:rFonts w:ascii="Times New Roman" w:hAnsi="Times New Roman"/>
                <w:sz w:val="18"/>
                <w:szCs w:val="18"/>
              </w:rPr>
              <w:t>15</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firstLine="0"/>
              <w:jc w:val="center"/>
              <w:rPr>
                <w:rFonts w:ascii="Times New Roman" w:hAnsi="Times New Roman"/>
                <w:sz w:val="18"/>
                <w:szCs w:val="18"/>
                <w:lang w:val="en-US"/>
              </w:rPr>
            </w:pPr>
            <w:r>
              <w:rPr>
                <w:rFonts w:ascii="Times New Roman" w:hAnsi="Times New Roman"/>
                <w:sz w:val="18"/>
                <w:szCs w:val="18"/>
                <w:lang w:val="en-US"/>
              </w:rPr>
              <w:t>396761.75</w:t>
            </w:r>
          </w:p>
        </w:tc>
        <w:tc>
          <w:tcPr>
            <w:tcW w:w="985" w:type="dxa"/>
            <w:gridSpan w:val="2"/>
          </w:tcPr>
          <w:p w:rsidR="006813DB" w:rsidRPr="00452B96" w:rsidRDefault="0045704C" w:rsidP="008009D7">
            <w:pPr>
              <w:pStyle w:val="ConsPlusNormal"/>
              <w:ind w:right="-80" w:firstLine="0"/>
              <w:jc w:val="center"/>
              <w:rPr>
                <w:rFonts w:ascii="Times New Roman" w:hAnsi="Times New Roman"/>
                <w:sz w:val="18"/>
                <w:szCs w:val="18"/>
              </w:rPr>
            </w:pPr>
            <w:r>
              <w:rPr>
                <w:rFonts w:ascii="Times New Roman" w:hAnsi="Times New Roman"/>
                <w:sz w:val="18"/>
                <w:szCs w:val="18"/>
              </w:rPr>
              <w:t>608787</w:t>
            </w:r>
          </w:p>
        </w:tc>
        <w:tc>
          <w:tcPr>
            <w:tcW w:w="982" w:type="dxa"/>
            <w:gridSpan w:val="2"/>
          </w:tcPr>
          <w:p w:rsidR="006813DB" w:rsidRPr="00452B96" w:rsidRDefault="0045704C" w:rsidP="008009D7">
            <w:pPr>
              <w:pStyle w:val="ConsPlusNormal"/>
              <w:ind w:firstLine="0"/>
              <w:jc w:val="center"/>
              <w:rPr>
                <w:rFonts w:ascii="Times New Roman" w:hAnsi="Times New Roman"/>
                <w:sz w:val="18"/>
                <w:szCs w:val="18"/>
              </w:rPr>
            </w:pPr>
            <w:r>
              <w:rPr>
                <w:rFonts w:ascii="Times New Roman" w:hAnsi="Times New Roman"/>
                <w:sz w:val="18"/>
                <w:szCs w:val="18"/>
              </w:rPr>
              <w:t>265995,29</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FB6DDF">
            <w:pPr>
              <w:pStyle w:val="ConsPlusNormal"/>
              <w:ind w:firstLine="0"/>
              <w:jc w:val="center"/>
              <w:rPr>
                <w:rFonts w:ascii="Times New Roman" w:hAnsi="Times New Roman"/>
                <w:sz w:val="18"/>
                <w:szCs w:val="18"/>
                <w:lang w:val="en-US"/>
              </w:rPr>
            </w:pPr>
            <w:r>
              <w:rPr>
                <w:rFonts w:ascii="Times New Roman" w:hAnsi="Times New Roman"/>
                <w:sz w:val="18"/>
                <w:szCs w:val="18"/>
                <w:lang w:val="en-US"/>
              </w:rPr>
              <w:t>1034225.86</w:t>
            </w:r>
            <w:bookmarkStart w:id="0" w:name="_GoBack"/>
            <w:bookmarkEnd w:id="0"/>
          </w:p>
        </w:tc>
        <w:tc>
          <w:tcPr>
            <w:tcW w:w="985" w:type="dxa"/>
            <w:gridSpan w:val="2"/>
          </w:tcPr>
          <w:p w:rsidR="006813DB" w:rsidRPr="00452B96" w:rsidRDefault="0045704C" w:rsidP="008009D7">
            <w:pPr>
              <w:pStyle w:val="ConsPlusNormal"/>
              <w:ind w:firstLine="0"/>
              <w:jc w:val="center"/>
              <w:rPr>
                <w:rFonts w:ascii="Times New Roman" w:hAnsi="Times New Roman"/>
                <w:sz w:val="18"/>
                <w:szCs w:val="18"/>
              </w:rPr>
            </w:pPr>
            <w:r>
              <w:rPr>
                <w:rFonts w:ascii="Times New Roman" w:hAnsi="Times New Roman"/>
                <w:sz w:val="18"/>
                <w:szCs w:val="18"/>
              </w:rPr>
              <w:t>683445,00</w:t>
            </w:r>
          </w:p>
        </w:tc>
        <w:tc>
          <w:tcPr>
            <w:tcW w:w="982" w:type="dxa"/>
            <w:gridSpan w:val="2"/>
          </w:tcPr>
          <w:p w:rsidR="006813DB" w:rsidRPr="00452B96" w:rsidRDefault="0045704C" w:rsidP="00BE6D30">
            <w:pPr>
              <w:pStyle w:val="ConsPlusNormal"/>
              <w:ind w:firstLine="0"/>
              <w:jc w:val="center"/>
              <w:rPr>
                <w:rFonts w:ascii="Times New Roman" w:hAnsi="Times New Roman"/>
                <w:sz w:val="18"/>
                <w:szCs w:val="18"/>
              </w:rPr>
            </w:pPr>
            <w:r>
              <w:rPr>
                <w:rFonts w:ascii="Times New Roman" w:hAnsi="Times New Roman"/>
                <w:sz w:val="18"/>
                <w:szCs w:val="18"/>
              </w:rPr>
              <w:t>142304,00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985"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005" w:type="dxa"/>
            <w:gridSpan w:val="3"/>
          </w:tcPr>
          <w:p w:rsidR="006813DB" w:rsidRPr="00452B96" w:rsidRDefault="006813DB" w:rsidP="00F331FF">
            <w:pPr>
              <w:pStyle w:val="ConsPlusNormal"/>
              <w:ind w:hanging="44"/>
              <w:jc w:val="center"/>
              <w:rPr>
                <w:rFonts w:ascii="Times New Roman" w:hAnsi="Times New Roman"/>
                <w:sz w:val="18"/>
                <w:szCs w:val="18"/>
              </w:rPr>
            </w:pPr>
            <w:r w:rsidRPr="00452B96">
              <w:rPr>
                <w:rFonts w:ascii="Times New Roman" w:hAnsi="Times New Roman"/>
                <w:sz w:val="18"/>
                <w:szCs w:val="18"/>
              </w:rPr>
              <w:t>3</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190</w:t>
            </w:r>
          </w:p>
        </w:tc>
        <w:tc>
          <w:tcPr>
            <w:tcW w:w="985" w:type="dxa"/>
            <w:gridSpan w:val="2"/>
          </w:tcPr>
          <w:p w:rsidR="006813DB" w:rsidRPr="00452B9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1005" w:type="dxa"/>
            <w:gridSpan w:val="3"/>
            <w:tcBorders>
              <w:top w:val="single" w:sz="4" w:space="0" w:color="auto"/>
            </w:tcBorders>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FE042A">
            <w:pPr>
              <w:pStyle w:val="ConsPlusNormal"/>
              <w:ind w:firstLine="56"/>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8D6BCE"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2461720</w:t>
            </w:r>
          </w:p>
        </w:tc>
        <w:tc>
          <w:tcPr>
            <w:tcW w:w="985" w:type="dxa"/>
            <w:gridSpan w:val="2"/>
          </w:tcPr>
          <w:p w:rsidR="006813DB" w:rsidRPr="00452B96" w:rsidRDefault="00E749C7" w:rsidP="00E749C7">
            <w:pPr>
              <w:pStyle w:val="ConsPlusNormal"/>
              <w:ind w:firstLine="0"/>
              <w:jc w:val="center"/>
              <w:rPr>
                <w:rFonts w:ascii="Times New Roman" w:hAnsi="Times New Roman"/>
                <w:sz w:val="18"/>
                <w:szCs w:val="18"/>
              </w:rPr>
            </w:pPr>
            <w:r>
              <w:rPr>
                <w:rFonts w:ascii="Times New Roman" w:hAnsi="Times New Roman"/>
                <w:sz w:val="18"/>
                <w:szCs w:val="18"/>
              </w:rPr>
              <w:t>2296379</w:t>
            </w:r>
          </w:p>
        </w:tc>
        <w:tc>
          <w:tcPr>
            <w:tcW w:w="1005" w:type="dxa"/>
            <w:gridSpan w:val="3"/>
          </w:tcPr>
          <w:p w:rsidR="006813DB" w:rsidRPr="00452B96" w:rsidRDefault="00E749C7" w:rsidP="006E39FC">
            <w:pPr>
              <w:pStyle w:val="ConsPlusNormal"/>
              <w:ind w:hanging="44"/>
              <w:jc w:val="center"/>
              <w:rPr>
                <w:rFonts w:ascii="Times New Roman" w:hAnsi="Times New Roman"/>
                <w:sz w:val="18"/>
                <w:szCs w:val="18"/>
              </w:rPr>
            </w:pPr>
            <w:r>
              <w:rPr>
                <w:rFonts w:ascii="Times New Roman" w:hAnsi="Times New Roman"/>
                <w:sz w:val="18"/>
                <w:szCs w:val="18"/>
              </w:rPr>
              <w:t>521517</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6813DB" w:rsidP="009D0E63">
            <w:pPr>
              <w:pStyle w:val="ConsPlusNormal"/>
              <w:ind w:firstLine="41"/>
              <w:jc w:val="center"/>
              <w:rPr>
                <w:rFonts w:ascii="Times New Roman" w:hAnsi="Times New Roman"/>
                <w:sz w:val="18"/>
                <w:szCs w:val="18"/>
              </w:rPr>
            </w:pPr>
            <w:r w:rsidRPr="00452B96">
              <w:rPr>
                <w:rFonts w:ascii="Times New Roman" w:hAnsi="Times New Roman"/>
                <w:sz w:val="18"/>
                <w:szCs w:val="18"/>
              </w:rPr>
              <w:t>70</w:t>
            </w:r>
          </w:p>
        </w:tc>
        <w:tc>
          <w:tcPr>
            <w:tcW w:w="1005" w:type="dxa"/>
            <w:gridSpan w:val="3"/>
          </w:tcPr>
          <w:p w:rsidR="006813DB" w:rsidRPr="00452B96" w:rsidRDefault="006813DB" w:rsidP="009D0E63">
            <w:pPr>
              <w:pStyle w:val="ConsPlusNormal"/>
              <w:ind w:firstLine="79"/>
              <w:jc w:val="center"/>
              <w:rPr>
                <w:rFonts w:ascii="Times New Roman" w:hAnsi="Times New Roman"/>
                <w:sz w:val="18"/>
                <w:szCs w:val="18"/>
              </w:rPr>
            </w:pPr>
            <w:r w:rsidRPr="00452B96">
              <w:rPr>
                <w:rFonts w:ascii="Times New Roman" w:hAnsi="Times New Roman"/>
                <w:sz w:val="18"/>
                <w:szCs w:val="18"/>
              </w:rPr>
              <w:t>70</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EE036B" w:rsidP="006813DB">
            <w:pPr>
              <w:jc w:val="center"/>
              <w:rPr>
                <w:rFonts w:ascii="Times New Roman" w:hAnsi="Times New Roman"/>
                <w:sz w:val="18"/>
                <w:szCs w:val="18"/>
              </w:rPr>
            </w:pP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E749C7" w:rsidP="000922FA">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985" w:type="dxa"/>
            <w:gridSpan w:val="2"/>
          </w:tcPr>
          <w:p w:rsidR="00EE036B" w:rsidRDefault="00EE036B" w:rsidP="00EB57B1">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1005" w:type="dxa"/>
            <w:gridSpan w:val="3"/>
          </w:tcPr>
          <w:p w:rsidR="00EE036B" w:rsidRPr="00452B96" w:rsidRDefault="00E749C7"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41</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42</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EE036B"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6813DB" w:rsidRPr="00452B96" w:rsidRDefault="00EE036B"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1005" w:type="dxa"/>
            <w:gridSpan w:val="3"/>
          </w:tcPr>
          <w:p w:rsidR="006813DB" w:rsidRPr="00452B96" w:rsidRDefault="00EE036B"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45</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46</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EE036B" w:rsidP="002E4663">
            <w:pPr>
              <w:pStyle w:val="ConsPlusNormal"/>
              <w:ind w:firstLine="56"/>
              <w:jc w:val="center"/>
              <w:rPr>
                <w:rFonts w:ascii="Times New Roman" w:hAnsi="Times New Roman"/>
                <w:sz w:val="18"/>
                <w:szCs w:val="18"/>
              </w:rPr>
            </w:pPr>
            <w:r>
              <w:rPr>
                <w:rFonts w:ascii="Times New Roman" w:hAnsi="Times New Roman"/>
                <w:sz w:val="18"/>
                <w:szCs w:val="18"/>
              </w:rPr>
              <w:t>50</w:t>
            </w:r>
          </w:p>
        </w:tc>
        <w:tc>
          <w:tcPr>
            <w:tcW w:w="985" w:type="dxa"/>
            <w:gridSpan w:val="2"/>
          </w:tcPr>
          <w:p w:rsidR="006813DB" w:rsidRPr="00452B96" w:rsidRDefault="00EE036B" w:rsidP="002E4663">
            <w:pPr>
              <w:pStyle w:val="ConsPlusNormal"/>
              <w:ind w:firstLine="72"/>
              <w:jc w:val="center"/>
              <w:rPr>
                <w:rFonts w:ascii="Times New Roman" w:hAnsi="Times New Roman"/>
                <w:sz w:val="18"/>
                <w:szCs w:val="18"/>
              </w:rPr>
            </w:pPr>
            <w:r>
              <w:rPr>
                <w:rFonts w:ascii="Times New Roman" w:hAnsi="Times New Roman"/>
                <w:sz w:val="18"/>
                <w:szCs w:val="18"/>
              </w:rPr>
              <w:t>45</w:t>
            </w:r>
          </w:p>
        </w:tc>
        <w:tc>
          <w:tcPr>
            <w:tcW w:w="1005" w:type="dxa"/>
            <w:gridSpan w:val="3"/>
          </w:tcPr>
          <w:p w:rsidR="006813DB" w:rsidRPr="00452B96" w:rsidRDefault="00EE036B" w:rsidP="002E4663">
            <w:pPr>
              <w:pStyle w:val="ConsPlusNormal"/>
              <w:ind w:firstLine="0"/>
              <w:jc w:val="center"/>
              <w:rPr>
                <w:rFonts w:ascii="Times New Roman" w:hAnsi="Times New Roman"/>
                <w:sz w:val="18"/>
                <w:szCs w:val="18"/>
              </w:rPr>
            </w:pPr>
            <w:r>
              <w:rPr>
                <w:rFonts w:ascii="Times New Roman" w:hAnsi="Times New Roman"/>
                <w:sz w:val="18"/>
                <w:szCs w:val="18"/>
              </w:rPr>
              <w:t>45</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85" w:type="dxa"/>
            <w:gridSpan w:val="2"/>
          </w:tcPr>
          <w:p w:rsidR="006813DB" w:rsidRPr="00452B96" w:rsidRDefault="00553A0A" w:rsidP="00EB57B1">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1005" w:type="dxa"/>
            <w:gridSpan w:val="3"/>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B7001A"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E749C7" w:rsidP="00E749C7">
            <w:pPr>
              <w:pStyle w:val="ConsPlusNormal"/>
              <w:ind w:firstLine="0"/>
              <w:jc w:val="center"/>
              <w:rPr>
                <w:rFonts w:ascii="Times New Roman" w:hAnsi="Times New Roman"/>
                <w:sz w:val="18"/>
                <w:szCs w:val="18"/>
              </w:rPr>
            </w:pPr>
            <w:r>
              <w:rPr>
                <w:rFonts w:ascii="Times New Roman" w:hAnsi="Times New Roman"/>
                <w:sz w:val="18"/>
                <w:szCs w:val="18"/>
              </w:rPr>
              <w:t>439,24</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7692</w:t>
            </w:r>
          </w:p>
        </w:tc>
        <w:tc>
          <w:tcPr>
            <w:tcW w:w="985" w:type="dxa"/>
            <w:gridSpan w:val="2"/>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6000</w:t>
            </w:r>
          </w:p>
        </w:tc>
        <w:tc>
          <w:tcPr>
            <w:tcW w:w="1005" w:type="dxa"/>
            <w:gridSpan w:val="3"/>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213205,12</w:t>
            </w:r>
          </w:p>
        </w:tc>
        <w:tc>
          <w:tcPr>
            <w:tcW w:w="985" w:type="dxa"/>
            <w:gridSpan w:val="2"/>
          </w:tcPr>
          <w:p w:rsidR="006813DB" w:rsidRPr="00452B96" w:rsidRDefault="00E749C7" w:rsidP="00BE6D30">
            <w:pPr>
              <w:pStyle w:val="ConsPlusNormal"/>
              <w:ind w:firstLine="0"/>
              <w:jc w:val="center"/>
              <w:rPr>
                <w:rFonts w:ascii="Times New Roman" w:hAnsi="Times New Roman"/>
                <w:sz w:val="18"/>
                <w:szCs w:val="18"/>
              </w:rPr>
            </w:pPr>
            <w:r>
              <w:rPr>
                <w:rFonts w:ascii="Times New Roman" w:hAnsi="Times New Roman"/>
                <w:sz w:val="18"/>
                <w:szCs w:val="18"/>
              </w:rPr>
              <w:t>50000</w:t>
            </w:r>
          </w:p>
        </w:tc>
        <w:tc>
          <w:tcPr>
            <w:tcW w:w="1005" w:type="dxa"/>
            <w:gridSpan w:val="3"/>
          </w:tcPr>
          <w:p w:rsidR="006813DB" w:rsidRPr="00452B96" w:rsidRDefault="00E749C7" w:rsidP="00BE6D3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2B0A4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6258</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985"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551CEF" w:rsidP="00B7001A">
            <w:pPr>
              <w:jc w:val="center"/>
              <w:rPr>
                <w:rFonts w:ascii="Times New Roman" w:hAnsi="Times New Roman"/>
                <w:sz w:val="18"/>
                <w:szCs w:val="18"/>
              </w:rPr>
            </w:pPr>
            <w:r>
              <w:rPr>
                <w:rFonts w:ascii="Times New Roman" w:hAnsi="Times New Roman"/>
                <w:sz w:val="18"/>
                <w:szCs w:val="18"/>
              </w:rPr>
              <w:lastRenderedPageBreak/>
              <w:t>5</w:t>
            </w:r>
            <w:r w:rsidR="00B7001A">
              <w:rPr>
                <w:rFonts w:ascii="Times New Roman" w:hAnsi="Times New Roman"/>
                <w:sz w:val="18"/>
                <w:szCs w:val="18"/>
              </w:rPr>
              <w:t>5</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551CEF" w:rsidP="00551CEF">
            <w:pPr>
              <w:jc w:val="center"/>
              <w:rPr>
                <w:rFonts w:ascii="Times New Roman" w:hAnsi="Times New Roman"/>
                <w:sz w:val="18"/>
                <w:szCs w:val="18"/>
              </w:rPr>
            </w:pP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8034,30</w:t>
            </w:r>
          </w:p>
        </w:tc>
        <w:tc>
          <w:tcPr>
            <w:tcW w:w="985" w:type="dxa"/>
            <w:gridSpan w:val="2"/>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8376,10</w:t>
            </w:r>
          </w:p>
        </w:tc>
        <w:tc>
          <w:tcPr>
            <w:tcW w:w="1005" w:type="dxa"/>
            <w:gridSpan w:val="3"/>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D497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56</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B7001A" w:rsidRPr="00452B96" w:rsidTr="00BE6D3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1" w:name="P2015"/>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2" w:name="P2024"/>
      <w:bookmarkEnd w:id="2"/>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E749C7"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12</w:t>
      </w:r>
      <w:r w:rsidR="00B7001A">
        <w:rPr>
          <w:rFonts w:ascii="Times New Roman" w:hAnsi="Times New Roman"/>
          <w:sz w:val="24"/>
          <w:szCs w:val="24"/>
        </w:rPr>
        <w:t>.0</w:t>
      </w:r>
      <w:r>
        <w:rPr>
          <w:rFonts w:ascii="Times New Roman" w:hAnsi="Times New Roman"/>
          <w:sz w:val="24"/>
          <w:szCs w:val="24"/>
        </w:rPr>
        <w:t>4</w:t>
      </w:r>
      <w:r w:rsidR="00B01FCE" w:rsidRPr="00C945A1">
        <w:rPr>
          <w:rFonts w:ascii="Times New Roman" w:hAnsi="Times New Roman"/>
          <w:sz w:val="24"/>
          <w:szCs w:val="24"/>
        </w:rPr>
        <w:t>.20</w:t>
      </w:r>
      <w:r w:rsidR="00B7001A">
        <w:rPr>
          <w:rFonts w:ascii="Times New Roman" w:hAnsi="Times New Roman"/>
          <w:sz w:val="24"/>
          <w:szCs w:val="24"/>
        </w:rPr>
        <w:t>2</w:t>
      </w:r>
      <w:r w:rsidR="00EE036B">
        <w:rPr>
          <w:rFonts w:ascii="Times New Roman" w:hAnsi="Times New Roman"/>
          <w:sz w:val="24"/>
          <w:szCs w:val="24"/>
        </w:rPr>
        <w:t>1</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75" w:rsidRDefault="00213775" w:rsidP="009E7A98">
      <w:pPr>
        <w:spacing w:after="0" w:line="240" w:lineRule="auto"/>
      </w:pPr>
      <w:r>
        <w:separator/>
      </w:r>
    </w:p>
  </w:endnote>
  <w:endnote w:type="continuationSeparator" w:id="0">
    <w:p w:rsidR="00213775" w:rsidRDefault="0021377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4C" w:rsidRDefault="0045704C"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75" w:rsidRDefault="00213775" w:rsidP="009E7A98">
      <w:pPr>
        <w:spacing w:after="0" w:line="240" w:lineRule="auto"/>
      </w:pPr>
      <w:r>
        <w:separator/>
      </w:r>
    </w:p>
  </w:footnote>
  <w:footnote w:type="continuationSeparator" w:id="0">
    <w:p w:rsidR="00213775" w:rsidRDefault="00213775"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AB6"/>
    <w:rsid w:val="007C715B"/>
    <w:rsid w:val="007C793E"/>
    <w:rsid w:val="007D05AA"/>
    <w:rsid w:val="007D124C"/>
    <w:rsid w:val="007D1379"/>
    <w:rsid w:val="007D2E93"/>
    <w:rsid w:val="007D5B94"/>
    <w:rsid w:val="007D6277"/>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C7770-3D65-4EC4-A41C-330028FF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11390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10</cp:revision>
  <cp:lastPrinted>2020-02-09T08:34:00Z</cp:lastPrinted>
  <dcterms:created xsi:type="dcterms:W3CDTF">2019-08-07T05:55:00Z</dcterms:created>
  <dcterms:modified xsi:type="dcterms:W3CDTF">2021-04-14T15:09:00Z</dcterms:modified>
</cp:coreProperties>
</file>